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0F" w:rsidRPr="007D512D" w:rsidRDefault="004F1EDA" w:rsidP="00B3500F">
      <w:pP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F1EDA">
        <w:rPr>
          <w:rFonts w:ascii="Times New Roman" w:hAnsi="Times New Roman"/>
          <w:b/>
          <w:bCs/>
          <w:kern w:val="1"/>
          <w:sz w:val="24"/>
          <w:szCs w:val="26"/>
        </w:rPr>
        <w:t>Разработка комплексного подхода к методам типирования серовариантов и детектирования токсигенных вариантов Рasteurella multocida биохимическим, биологическим методом и методом ПЦР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7D512D" w:rsidRDefault="004F1EDA" w:rsidP="007D5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EDA">
              <w:rPr>
                <w:rFonts w:ascii="Times New Roman" w:hAnsi="Times New Roman"/>
                <w:bCs/>
                <w:kern w:val="1"/>
                <w:szCs w:val="26"/>
              </w:rPr>
              <w:t>Разработка комплексного подхода к методам типирования серовариантов и детектирования токсигенных вариантов Рasteurella multocida биохимическим, биологическим методом и методом ПЦР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Пастереллезы, - высококонтагиозные инфекционные заболевания сельскохозяйственных и диких животных, пушных зверей и птиц с высокой летальностью и тенденцией к стационарности. Впервые Pasteurella multocida была показана как возбудитель холеры домашней птицы Луи Пастером в 1881 году.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Пастереллезы регистрируются во всех странах мира с развитым животноводством, свиноводством, птицеводством и кролиководством, в том числе и в РФ и остаются актуальной проблемой как для вет</w:t>
            </w:r>
            <w:r>
              <w:rPr>
                <w:rFonts w:ascii="Times New Roman" w:hAnsi="Times New Roman"/>
                <w:kern w:val="1"/>
                <w:szCs w:val="26"/>
              </w:rPr>
              <w:t>еринарии, так и для медицины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 По данным Департамента ветеринарии МСХ РФ в Российской Федерации ежегодно регистрируется от 20 до 40 неблагополучных по пастереллезу пунктов.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Заболевание характеризуется при остром течении признаками септицемии, крупозным воспалением и отёком лёгких, плевритом, а при хроническом течении – гнойно-некротической пневмонией, артритом, маститом, керато-конъюнктивитом, эндометритом и иногда энтеритом.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В настоящее время общепризнанно, что помимо геморрагической септицемии P. multocida вызывает и другие формы пастереллеза с клиникой пневмонии, мастита, атрофического ринита, тонзиллита, менингита, энцефалита, абортов и абсцессов у разнообразных домашних и диких животных во многих страна</w:t>
            </w:r>
            <w:r>
              <w:rPr>
                <w:rFonts w:ascii="Times New Roman" w:hAnsi="Times New Roman"/>
                <w:kern w:val="1"/>
                <w:szCs w:val="26"/>
              </w:rPr>
              <w:t>х мира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По данным Департамента ветеринарии МСХ РФ в Российской федерации ежегодно регистрируется от 20 до 40 неблагополучных по пастереллезу животноводческих, свиноводческих, птицеводческих пунктов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Пастереллезы животных способны вызывать представители нескольких серогрупп пастерелл. Большинство из них вызывают у животных хроническое носительство. Пастереллез наносит значительный экономический ущерб, складывающийся из высокой летальности животных, затрат на лечение, и других ветеринарно-санитарных мероприятий по ликвидации и профилактике заболевания. Кроме того, переболевшие животные длительное время остаются носителями пастерелл и служат источником возбудителя ин</w:t>
            </w:r>
            <w:r>
              <w:rPr>
                <w:rFonts w:ascii="Times New Roman" w:hAnsi="Times New Roman"/>
                <w:kern w:val="1"/>
                <w:szCs w:val="26"/>
              </w:rPr>
              <w:t>фекции для здоровых животных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Многими авторами подчёркивается сложность антигенного состава Pasteurella multocida с различной степенью активности отдельных антигенных компонентов.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Бактерии рода Pasteurella, семейства Pasteurellaceae</w:t>
            </w:r>
            <w:r w:rsidRPr="007D512D">
              <w:rPr>
                <w:rFonts w:ascii="Times New Roman" w:hAnsi="Times New Roman"/>
                <w:i/>
                <w:iCs/>
                <w:spacing w:val="45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5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ы</w:t>
            </w:r>
            <w:r w:rsidRPr="007D512D">
              <w:rPr>
                <w:rFonts w:ascii="Times New Roman" w:hAnsi="Times New Roman"/>
                <w:spacing w:val="41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в</w:t>
            </w:r>
            <w:r w:rsidRPr="007D512D">
              <w:rPr>
                <w:rFonts w:ascii="Times New Roman" w:hAnsi="Times New Roman"/>
                <w:spacing w:val="56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нти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г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ом</w:t>
            </w:r>
            <w:r w:rsidRPr="007D512D">
              <w:rPr>
                <w:rFonts w:ascii="Times New Roman" w:hAnsi="Times New Roman"/>
                <w:spacing w:val="45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тн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ш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45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55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п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з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ля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ю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с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я</w:t>
            </w:r>
            <w:r w:rsidRPr="007D512D">
              <w:rPr>
                <w:rFonts w:ascii="Times New Roman" w:hAnsi="Times New Roman"/>
                <w:spacing w:val="39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52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 xml:space="preserve">5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капсульных групп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(</w:t>
            </w:r>
            <w:r w:rsidRPr="007D512D">
              <w:rPr>
                <w:rFonts w:ascii="Times New Roman" w:hAnsi="Times New Roman"/>
                <w:spacing w:val="-5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,</w:t>
            </w:r>
            <w:r w:rsidRPr="007D512D">
              <w:rPr>
                <w:rFonts w:ascii="Times New Roman" w:hAnsi="Times New Roman"/>
                <w:spacing w:val="45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В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,</w:t>
            </w:r>
            <w:r w:rsidRPr="007D512D">
              <w:rPr>
                <w:rFonts w:ascii="Times New Roman" w:hAnsi="Times New Roman"/>
                <w:spacing w:val="46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D,</w:t>
            </w:r>
            <w:r w:rsidRPr="007D512D">
              <w:rPr>
                <w:rFonts w:ascii="Times New Roman" w:hAnsi="Times New Roman"/>
                <w:spacing w:val="41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E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,</w:t>
            </w:r>
            <w:r w:rsidRPr="007D512D">
              <w:rPr>
                <w:rFonts w:ascii="Times New Roman" w:hAnsi="Times New Roman"/>
                <w:spacing w:val="46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F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)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>.</w:t>
            </w:r>
            <w:r w:rsidRPr="007D512D">
              <w:rPr>
                <w:rFonts w:ascii="Times New Roman" w:hAnsi="Times New Roman"/>
                <w:spacing w:val="13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H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e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dd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l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e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s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to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n </w:t>
            </w:r>
            <w:r w:rsidRPr="007D512D">
              <w:rPr>
                <w:rFonts w:ascii="Times New Roman" w:hAnsi="Times New Roman"/>
                <w:spacing w:val="-5"/>
                <w:kern w:val="1"/>
                <w:szCs w:val="26"/>
              </w:rPr>
              <w:t>K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.</w:t>
            </w:r>
            <w:r w:rsidRPr="007D512D">
              <w:rPr>
                <w:rFonts w:ascii="Times New Roman" w:hAnsi="Times New Roman"/>
                <w:spacing w:val="-3"/>
                <w:kern w:val="1"/>
                <w:szCs w:val="26"/>
              </w:rPr>
              <w:t>L</w:t>
            </w:r>
            <w:r>
              <w:rPr>
                <w:rFonts w:ascii="Times New Roman" w:hAnsi="Times New Roman"/>
                <w:kern w:val="1"/>
                <w:szCs w:val="26"/>
              </w:rPr>
              <w:t xml:space="preserve">.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в р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еак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ци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и 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ф</w:t>
            </w:r>
            <w:r w:rsidRPr="007D512D">
              <w:rPr>
                <w:rFonts w:ascii="Times New Roman" w:hAnsi="Times New Roman"/>
                <w:spacing w:val="3"/>
                <w:kern w:val="1"/>
                <w:szCs w:val="26"/>
              </w:rPr>
              <w:t>ф</w:t>
            </w:r>
            <w:r w:rsidRPr="007D512D">
              <w:rPr>
                <w:rFonts w:ascii="Times New Roman" w:hAnsi="Times New Roman"/>
                <w:spacing w:val="-10"/>
                <w:kern w:val="1"/>
                <w:szCs w:val="26"/>
              </w:rPr>
              <w:t>у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зн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ой 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п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ци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п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ит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ци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и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(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ДП) 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б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spacing w:val="-10"/>
                <w:kern w:val="1"/>
                <w:szCs w:val="26"/>
              </w:rPr>
              <w:t>у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ж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л 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л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ч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е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ш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ес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тн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д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ц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24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липополисахаридных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 xml:space="preserve"> с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м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ческ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х</w:t>
            </w:r>
            <w:r w:rsidRPr="007D512D">
              <w:rPr>
                <w:rFonts w:ascii="Times New Roman" w:hAnsi="Times New Roman"/>
                <w:spacing w:val="17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4"/>
                <w:kern w:val="1"/>
                <w:szCs w:val="26"/>
              </w:rPr>
              <w:t xml:space="preserve">типов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(протеин наружной мембраны OmpH) 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э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ой</w:t>
            </w:r>
            <w:r w:rsidRPr="007D512D">
              <w:rPr>
                <w:rFonts w:ascii="Times New Roman" w:hAnsi="Times New Roman"/>
                <w:spacing w:val="32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2"/>
                <w:kern w:val="1"/>
                <w:szCs w:val="26"/>
              </w:rPr>
              <w:t>б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ак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р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и,</w:t>
            </w:r>
            <w:r w:rsidRPr="007D512D">
              <w:rPr>
                <w:rFonts w:ascii="Times New Roman" w:hAnsi="Times New Roman"/>
                <w:spacing w:val="28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 xml:space="preserve">которые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обозначают цифрами. На основании полученных данных авторы предлагают характеризовать штаммы P.multocida по капсульному и соматическому антигенам и в связи с этим именовать их 1:А, 3:А, 2:В и т.д. Штаммы 1:А и 3:А имеют общий капсульный антиген А, но различн</w:t>
            </w:r>
            <w:r>
              <w:rPr>
                <w:rFonts w:ascii="Times New Roman" w:hAnsi="Times New Roman"/>
                <w:kern w:val="1"/>
                <w:szCs w:val="26"/>
              </w:rPr>
              <w:t>ые соматические антигены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Штаммы пастерелл могут иметь общий капсульный антиген, но различны</w:t>
            </w:r>
            <w:r>
              <w:rPr>
                <w:rFonts w:ascii="Times New Roman" w:hAnsi="Times New Roman"/>
                <w:kern w:val="1"/>
                <w:szCs w:val="26"/>
              </w:rPr>
              <w:t>е соматические антигены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Геморрагическую септицемию крупного рогатого скота включённую в список МЭБ, вызывают серотипы Pasteurella multocida, обозначенные 6:В и 6:Е..Основным возбудителем геморрагической септицемии у буйволов в Азии, является P. multocida серотип B:2, ответственный за развитие ос</w:t>
            </w:r>
            <w:r>
              <w:rPr>
                <w:rFonts w:ascii="Times New Roman" w:hAnsi="Times New Roman"/>
                <w:kern w:val="1"/>
                <w:szCs w:val="26"/>
              </w:rPr>
              <w:t>трого эндотоксического шока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К факторам вирулентности пастерелл также относятся капсульный полисахарид, протеин наружной мембраны (OmpH), экзо- и эндотоксины, в том числе дермонекротический токсин (tox А), играющий основную этиологическую роль в развитии атрофического</w:t>
            </w:r>
            <w:r>
              <w:rPr>
                <w:rFonts w:ascii="Times New Roman" w:hAnsi="Times New Roman"/>
                <w:kern w:val="1"/>
                <w:szCs w:val="26"/>
              </w:rPr>
              <w:t xml:space="preserve"> ринита у свиней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lastRenderedPageBreak/>
              <w:t xml:space="preserve">У пастерелл отмечается определённая зависимость между вирулентностью, капсулооброзованием и токсинообразованием (липополисахаридный эндотоксин и дермонекротизирующий toxA токсин).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Результаты исследования серологической гетерогенности пастерелл коренным образом изменили представления о пастереллезах сельскохозяйственных животных. Комбинация факторов вирулентности у штаммов и изолятов бактерии Pasteurella multocida различных серогрупп и серотипов может быть разной, и является важным маркером для определения их роли в развитии болезни, клиническом проявлении, поражении животных различных возр</w:t>
            </w:r>
            <w:r>
              <w:rPr>
                <w:rFonts w:ascii="Times New Roman" w:hAnsi="Times New Roman"/>
                <w:kern w:val="1"/>
                <w:szCs w:val="26"/>
              </w:rPr>
              <w:t>астных категорий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. С другой стороны, как антигенные детерминанты, они стимулируют развитие адаптивного иммунного ответа.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Основной мерой профилактики пастереллезов является вакцинация, эффективность которой зависит от полноты и специфичности антигенных детерминант, опосредующих иммунный ответ против эпизоотических штаммов, циркулирующих в хозяйствах.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Одним из важнейших протективных антигенов бактерии и перспективным кандидатом при разработке вакцин против пастереллеза крупного рогатого скота вместе с капсульным полисахаридом является протеин наружной мембраны (OmpH) клеточной стенки. У данного протеина выявлены 2 антигенные детерминанты, аминокислотные последовательности которых различаются у разных серогрупп бактерии. По биологическим свойствам (OmpH)- антигены токсичны, активны в серологических реакциях; введение их вызывает образование специфического иммунитета. Протеин OmpH является протективным антигеном бактерии и хорошо изучен у шт</w:t>
            </w:r>
            <w:r>
              <w:rPr>
                <w:rFonts w:ascii="Times New Roman" w:hAnsi="Times New Roman"/>
                <w:kern w:val="1"/>
                <w:szCs w:val="26"/>
              </w:rPr>
              <w:t>аммов, изолированных от птиц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 Но при этом отсутствуют сведения о частоте выявления этих генов у изолятов, выделенных от телят</w:t>
            </w:r>
            <w:r>
              <w:rPr>
                <w:rFonts w:ascii="Times New Roman" w:hAnsi="Times New Roman"/>
                <w:kern w:val="1"/>
                <w:szCs w:val="26"/>
              </w:rPr>
              <w:t xml:space="preserve"> с респираторной патологией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В настоящее время для борьбы с пастереллезом в нашей стране используют противопастереллезные вакцины и гипериммунную специфическую сыворотку, профилактирующие появление острого (септического) пастереллеза и недостаточно эффективно предохраняющие от возникновения пневмоний </w:t>
            </w:r>
            <w:r>
              <w:rPr>
                <w:rFonts w:ascii="Times New Roman" w:hAnsi="Times New Roman"/>
                <w:kern w:val="1"/>
                <w:szCs w:val="26"/>
              </w:rPr>
              <w:t>пастереллезной этиологии.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Несмотря на востребованность и расширение ассортимента вакцинных препаратов, перечень вакцинных штаммов, используемых 5 отечественными биопредприятиями для выпуска вакцин против пастереллеза животных и птицы на протяжении 30 лет не менялся и ограничен использованием комбинации незначительного числа штаммов серогруппы А, В и D без определения их серотиповой принадлежности по соматическому антигену и потенциальной способности к токсинообразованию растворимых соматических токсинов и дермонекротического токсина.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В начале восьмидесятых годов за рубежом появился ряд публикаций, посвящённых изучению биологических и физико-химических свойств токсина P.multocida серологического варианта Д, однако к настоящего времени этот токсин изучен крайне недостаточно. В нашей стране исследования в данном направлении не проводились.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Анализ литературных данных показал отсутствие целостного подхода к методам типирования Рasteurella multocida и детектирования токсигенных вариантов.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Среди рутинных методов типирования P.multocida по капсульному антигену до настоящего времени используется тест на выявление гиалуроновой кислоты в капсуле бактерий, и акрифлавиновая проба (МУК МСХ РФ № 22-7/82 от 20.08.1992 г). К недостаткам данного способа относится низкая специфичность, невозможность типирования серогрупп E и F и вероятность возникновения спонтанных мутаций, приводящих к появлению безкапсульных вариантов бактерии, что приводит к невозможности их типирования по данному способу.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Типирование пастерелл по серотипам (OmpH) в нашей стране не проводится ввиду отсутствия специфических сывороток. Попытки в конце 90-х годов коллектива учёных под руководством Душука Р.В. получить типоспецифические гипериммунные сыворотки успехом не увенчались. За рубежом для типирования пастерелл по серотипам исполь</w:t>
            </w:r>
            <w:r>
              <w:rPr>
                <w:rFonts w:ascii="Times New Roman" w:hAnsi="Times New Roman"/>
                <w:kern w:val="1"/>
                <w:szCs w:val="26"/>
              </w:rPr>
              <w:t>зуют реакцию гемагглютинации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, однако коммерческие сертифицированные типовые сыворотки в свободном доступе отсутствуют.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Исследования, проведённые в разных странах, показывают широкую распространённость tox А -продуцирующих вариантов P. multocida серогрупп А и Д, выделенных от кроликов, крупного рогатого скота, кошек, собак и индеек (3, 10, 16). </w:t>
            </w:r>
            <w:hyperlink r:id="rId8" w:history="1">
              <w:r w:rsidRPr="007D512D">
                <w:rPr>
                  <w:rFonts w:ascii="Times New Roman" w:hAnsi="Times New Roman"/>
                  <w:kern w:val="1"/>
                  <w:szCs w:val="26"/>
                </w:rPr>
                <w:t>Ewers C</w:t>
              </w:r>
            </w:hyperlink>
            <w:r>
              <w:rPr>
                <w:rFonts w:ascii="Times New Roman" w:hAnsi="Times New Roman"/>
                <w:kern w:val="1"/>
                <w:szCs w:val="26"/>
              </w:rPr>
              <w:t xml:space="preserve">. Et al.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, сообщают, что ген, кодирующий дермонекротоксин, присутствует у 12,5% изолятов пастерелл,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lastRenderedPageBreak/>
              <w:t>выделенных от свиней, мелких жвачных животных, крупного рогатого скота и птицы. При этом установлена значимая связь со статусом заболевания у свиней. Предполагается, что гены toxA, являются важными эпидемиологическими маркерными генами для характеристики полевых штаммов P. multocida.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В работе Шубиной Е.А. показано, что бактерии P. multocida продуцирующие дермонекротизирующий токсин (toxA), играют важную роль в патогенезе заболевания</w:t>
            </w:r>
            <w:r>
              <w:rPr>
                <w:rFonts w:ascii="Times New Roman" w:hAnsi="Times New Roman"/>
                <w:kern w:val="1"/>
                <w:szCs w:val="26"/>
              </w:rPr>
              <w:t xml:space="preserve"> свиней атрофическим ринитом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Однако до настоящего времени в нашей стране исследования в данном направлении не проводились и, соответственно, сведений о типировании штаммов пастерелл по продукции дермонекротического токсина при конструировании отечественных вакцин в доступной литературе не обнаружено.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Методика получения дермонекротического токсина пастерелл который, является одним из основных этиологических факторов атрофического ринита свиней, не введена в научный обиход.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При этом контроль качества отечественных вакцин базируется на определении иммуногенной активности капсульного антигена методом прямого заражения вакцинированных животных.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Отсутствие доказательств серотиповой и токсигенной (toxA) активности штаммов пастерелл в составе отечественных вакцин является препятствием для усовершенствования методов контроля качества и разработки новых вакцин с учетом эпизоотически значимых вариантов.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Токсигенные от нетоксигенных изоляты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>P. multocida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не могут быть дифференцированы морфологией или стандартными биохимическими реакциями в связи с чем до настоящего времени традиционно используют биопробу на патогенность и вирулентность на белых мышах.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В связи с вышеизложенным, исследования по типированию вакцинных и музейных штаммов пастерелл по капсульным антигенам, 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с</w:t>
            </w:r>
            <w:r w:rsidRPr="007D512D">
              <w:rPr>
                <w:rFonts w:ascii="Times New Roman" w:hAnsi="Times New Roman"/>
                <w:spacing w:val="5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м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т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ческ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м</w:t>
            </w:r>
            <w:r w:rsidRPr="007D512D">
              <w:rPr>
                <w:rFonts w:ascii="Times New Roman" w:hAnsi="Times New Roman"/>
                <w:spacing w:val="4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(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О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-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)</w:t>
            </w:r>
            <w:r w:rsidRPr="007D512D">
              <w:rPr>
                <w:rFonts w:ascii="Times New Roman" w:hAnsi="Times New Roman"/>
                <w:spacing w:val="14"/>
                <w:kern w:val="1"/>
                <w:szCs w:val="26"/>
              </w:rPr>
              <w:t xml:space="preserve"> 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а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нт</w:t>
            </w:r>
            <w:r w:rsidRPr="007D512D">
              <w:rPr>
                <w:rFonts w:ascii="Times New Roman" w:hAnsi="Times New Roman"/>
                <w:spacing w:val="-4"/>
                <w:kern w:val="1"/>
                <w:szCs w:val="26"/>
              </w:rPr>
              <w:t>и</w:t>
            </w:r>
            <w:r w:rsidRPr="007D512D">
              <w:rPr>
                <w:rFonts w:ascii="Times New Roman" w:hAnsi="Times New Roman"/>
                <w:spacing w:val="2"/>
                <w:kern w:val="1"/>
                <w:szCs w:val="26"/>
              </w:rPr>
              <w:t>г</w:t>
            </w:r>
            <w:r w:rsidRPr="007D512D">
              <w:rPr>
                <w:rFonts w:ascii="Times New Roman" w:hAnsi="Times New Roman"/>
                <w:spacing w:val="-1"/>
                <w:kern w:val="1"/>
                <w:szCs w:val="26"/>
              </w:rPr>
              <w:t>е</w:t>
            </w:r>
            <w:r w:rsidRPr="007D512D">
              <w:rPr>
                <w:rFonts w:ascii="Times New Roman" w:hAnsi="Times New Roman"/>
                <w:spacing w:val="1"/>
                <w:kern w:val="1"/>
                <w:szCs w:val="26"/>
              </w:rPr>
              <w:t>н</w:t>
            </w:r>
            <w:r w:rsidRPr="007D512D">
              <w:rPr>
                <w:rFonts w:ascii="Times New Roman" w:hAnsi="Times New Roman"/>
                <w:spacing w:val="-3"/>
                <w:kern w:val="1"/>
                <w:szCs w:val="26"/>
              </w:rPr>
              <w:t xml:space="preserve">ам,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продукции дермонекротизирующего токсина (toxA), детерминирующих антигенную активность, являются весьма актуальными и представляют несомненный интерес для практики в области стандартизации лекарственных средств.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Использование молекулярно-генетических методов является более простым, быстрым и точным способом типирования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>P. multocida.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Анализ литературы показал принципиальную возможность типирования пяти серогрупп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 xml:space="preserve">P. multocida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- A, B, D, E, и F и дермонекротизирующего токсина молекулярно-генетическими методами. В 1994 г Nagai S, Someno S, Yagihashi T. разработали ПЦР анализ для дифференцирования вирулентных штаммов Pasteurella multocida subsp. multocida от авирулентных </w:t>
            </w:r>
            <w:r>
              <w:rPr>
                <w:rFonts w:ascii="Times New Roman" w:hAnsi="Times New Roman"/>
                <w:kern w:val="1"/>
                <w:szCs w:val="26"/>
              </w:rPr>
              <w:t>штаммов на основе toxA гена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Был амплифицирован toxA ген, кодирующий 143-kDa дермонекротического токсина, который, как полагают, является центральным этиологическим фактором прогрессирующего атрофического ринита свиней. Полученные результаты ПЦР 187 областей ДНК изолятов P. multocida, были совместимы с результатами тестов на коже морских свинок и анализа иммуноблотинга.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Разработкой ПЦР для выявления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 xml:space="preserve">P. multocida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в биологическом материале или для типирования чистых и смешанных культур занимались </w:t>
            </w:r>
            <w:r>
              <w:rPr>
                <w:rFonts w:ascii="Times New Roman" w:hAnsi="Times New Roman"/>
                <w:spacing w:val="1"/>
                <w:kern w:val="1"/>
                <w:szCs w:val="26"/>
              </w:rPr>
              <w:t>Lichtensteiger CA, et al.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1"/>
                <w:szCs w:val="26"/>
              </w:rPr>
              <w:t>Nagai S.H.,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и другие. В нашей стране разработке ПЦР для выявления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 xml:space="preserve">P. multocida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и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 xml:space="preserve">M. haemolytica 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>посвя</w:t>
            </w:r>
            <w:r>
              <w:rPr>
                <w:rFonts w:ascii="Times New Roman" w:hAnsi="Times New Roman"/>
                <w:kern w:val="1"/>
                <w:szCs w:val="26"/>
              </w:rPr>
              <w:t>щена работа Терентьевой Т.А.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и А</w:t>
            </w:r>
            <w:r>
              <w:rPr>
                <w:rFonts w:ascii="Times New Roman" w:hAnsi="Times New Roman"/>
                <w:kern w:val="1"/>
                <w:szCs w:val="26"/>
              </w:rPr>
              <w:t>.В. Нефедченко А.В. и др.,</w:t>
            </w:r>
            <w:r w:rsidRPr="007D512D">
              <w:rPr>
                <w:rFonts w:ascii="Times New Roman" w:hAnsi="Times New Roman"/>
                <w:b/>
                <w:bCs/>
                <w:kern w:val="1"/>
                <w:szCs w:val="26"/>
              </w:rPr>
              <w:t xml:space="preserve"> </w:t>
            </w:r>
          </w:p>
          <w:p w:rsidR="007D512D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1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Таким образом, возникла необходимость сравнения специфичности биохимических, биологических и молекулярно-генетических методов типирования капсулярных типов серовариантов пастерелл и детектирования токсигенных вариантов </w:t>
            </w:r>
            <w:r w:rsidRPr="007D512D">
              <w:rPr>
                <w:rFonts w:ascii="Times New Roman" w:hAnsi="Times New Roman"/>
                <w:i/>
                <w:iCs/>
                <w:kern w:val="1"/>
                <w:szCs w:val="26"/>
              </w:rPr>
              <w:t>P. multocida</w:t>
            </w: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 на примере вакцинных, музейных штаммов и полевых изолятов пастерелл</w:t>
            </w:r>
          </w:p>
          <w:p w:rsidR="009608D5" w:rsidRPr="007D512D" w:rsidRDefault="007D512D" w:rsidP="007D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 xml:space="preserve">Это позволит учитывать антигенную разнородность при определении способности коммерческих вакцин защищать животных от пастереллеза различных сергрупп и сероваров, выявлять серовары, против которых вакцины не эффективны; определять потенциальную опасность таких сероваров для животных. 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7D512D" w:rsidRDefault="007D512D" w:rsidP="007D51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1"/>
                <w:sz w:val="26"/>
                <w:szCs w:val="26"/>
              </w:rPr>
            </w:pPr>
            <w:r w:rsidRPr="007D512D">
              <w:rPr>
                <w:rFonts w:ascii="Times New Roman" w:hAnsi="Times New Roman"/>
                <w:kern w:val="1"/>
                <w:szCs w:val="26"/>
              </w:rPr>
              <w:t>Целью исследований II этапа НИР является</w:t>
            </w:r>
            <w:r w:rsidRPr="007D512D">
              <w:rPr>
                <w:rFonts w:ascii="Times New Roman" w:hAnsi="Times New Roman"/>
                <w:bCs/>
                <w:kern w:val="1"/>
                <w:szCs w:val="26"/>
              </w:rPr>
              <w:t>: разработка молекулярно-генетического метода типирования штаммов пастерелл по серогруппам и серотипам и детектирования токсигенных вариантов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647" w:type="dxa"/>
          </w:tcPr>
          <w:p w:rsidR="004F1EDA" w:rsidRPr="004F1EDA" w:rsidRDefault="004F1EDA" w:rsidP="004F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4F1EDA">
              <w:rPr>
                <w:rFonts w:ascii="Times New Roman" w:hAnsi="Times New Roman"/>
                <w:kern w:val="1"/>
                <w:szCs w:val="26"/>
              </w:rPr>
              <w:t xml:space="preserve">1. Будет проведено фенотипическое, биохимическое, биологическое типирование вакцинных, музейных и эпизоотических штаммов пастерелл, выделены токсигенные варианты по продукции дермонекротического токсина. </w:t>
            </w:r>
          </w:p>
          <w:p w:rsidR="004F1EDA" w:rsidRPr="004F1EDA" w:rsidRDefault="004F1EDA" w:rsidP="004F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4F1EDA">
              <w:rPr>
                <w:rFonts w:ascii="Times New Roman" w:hAnsi="Times New Roman"/>
                <w:kern w:val="1"/>
                <w:szCs w:val="26"/>
              </w:rPr>
              <w:t>2. В ходе работы будут собраны и обработаны литературные данные по тематике НИР, а также проведена проверка пригодности биохимического метода типирования штаммов пастерелл, пригодность методики контроля штаммов пастерелл на токсинообразование,  изучены нуклеотидные последовательности генов мишеней по публичным базам данных (GenBank), проведен выбор праймеров, и зондов, позволяющих амплифицировать фрагменты генома P. multocida, синтез ПЦР праймеров, зондов, подбор условий реакции амплификации, проведена проверка пригодности молекулярно-генетических методов исследования для решения поставленной задачи.</w:t>
            </w:r>
          </w:p>
          <w:p w:rsidR="004F1EDA" w:rsidRPr="004F1EDA" w:rsidRDefault="004F1EDA" w:rsidP="004F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Cs w:val="26"/>
              </w:rPr>
            </w:pPr>
            <w:r w:rsidRPr="004F1EDA">
              <w:rPr>
                <w:rFonts w:ascii="Times New Roman" w:hAnsi="Times New Roman"/>
                <w:kern w:val="1"/>
                <w:szCs w:val="26"/>
              </w:rPr>
              <w:t xml:space="preserve">3. Будет проведено молекулярно-генетическое типирование коллекционных </w:t>
            </w:r>
          </w:p>
          <w:p w:rsidR="005F2089" w:rsidRPr="007D512D" w:rsidRDefault="004F1EDA" w:rsidP="004F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kern w:val="1"/>
                <w:sz w:val="26"/>
                <w:szCs w:val="26"/>
              </w:rPr>
            </w:pPr>
            <w:r w:rsidRPr="004F1EDA">
              <w:rPr>
                <w:rFonts w:ascii="Times New Roman" w:hAnsi="Times New Roman"/>
                <w:kern w:val="1"/>
                <w:szCs w:val="26"/>
              </w:rPr>
              <w:t>и вакцинных штаммов пастерелл.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7" w:rsidRDefault="00A14D77" w:rsidP="00801F67">
      <w:pPr>
        <w:spacing w:after="0" w:line="240" w:lineRule="auto"/>
      </w:pPr>
      <w:r>
        <w:separator/>
      </w:r>
    </w:p>
  </w:endnote>
  <w:endnote w:type="continuationSeparator" w:id="0">
    <w:p w:rsidR="00A14D77" w:rsidRDefault="00A14D77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7" w:rsidRDefault="00A14D77" w:rsidP="00801F67">
      <w:pPr>
        <w:spacing w:after="0" w:line="240" w:lineRule="auto"/>
      </w:pPr>
      <w:r>
        <w:separator/>
      </w:r>
    </w:p>
  </w:footnote>
  <w:footnote w:type="continuationSeparator" w:id="0">
    <w:p w:rsidR="00A14D77" w:rsidRDefault="00A14D77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4F1EDA"/>
    <w:rsid w:val="0053183E"/>
    <w:rsid w:val="005F2089"/>
    <w:rsid w:val="006E29A9"/>
    <w:rsid w:val="007D512D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14D77"/>
    <w:rsid w:val="00A950BA"/>
    <w:rsid w:val="00B3500F"/>
    <w:rsid w:val="00B71A09"/>
    <w:rsid w:val="00C0191F"/>
    <w:rsid w:val="00C047D5"/>
    <w:rsid w:val="00C24072"/>
    <w:rsid w:val="00C363C1"/>
    <w:rsid w:val="00C44AF5"/>
    <w:rsid w:val="00C6594D"/>
    <w:rsid w:val="00C73CA8"/>
    <w:rsid w:val="00D4732A"/>
    <w:rsid w:val="00DC5593"/>
    <w:rsid w:val="00DD27FC"/>
    <w:rsid w:val="00DF1B1B"/>
    <w:rsid w:val="00E22C03"/>
    <w:rsid w:val="00E33D63"/>
    <w:rsid w:val="00E3750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wers%20C%5BAuthor%5D&amp;cauthor=true&amp;cauthor_uid=16427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5D75-0626-4874-A672-754AF5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2021-01-26T08:09:00Z</dcterms:created>
  <dcterms:modified xsi:type="dcterms:W3CDTF">2021-01-26T14:19:00Z</dcterms:modified>
</cp:coreProperties>
</file>